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BB770" w14:textId="77777777" w:rsidR="00480C24" w:rsidRPr="006C6BE2" w:rsidRDefault="00480C24" w:rsidP="005317F8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14:paraId="6D28E82D" w14:textId="77777777" w:rsidR="005317F8" w:rsidRPr="00C26324" w:rsidRDefault="005317F8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Հավելված </w:t>
      </w:r>
    </w:p>
    <w:p w14:paraId="555FF1CB" w14:textId="77777777" w:rsidR="005317F8" w:rsidRPr="00C26324" w:rsidRDefault="005317F8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Հայաստանի Հանրապետության սննդամթերքի </w:t>
      </w:r>
    </w:p>
    <w:p w14:paraId="5CCBE4DE" w14:textId="77777777" w:rsidR="005317F8" w:rsidRPr="00C26324" w:rsidRDefault="005317F8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անվտանգության տեսչական մարմնի կառավարման խորհրդի</w:t>
      </w:r>
    </w:p>
    <w:p w14:paraId="1517F69D" w14:textId="4F17C11B" w:rsidR="005317F8" w:rsidRPr="00C26324" w:rsidRDefault="00297BA9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2020 թվականի </w:t>
      </w:r>
      <w:r w:rsidR="003F43D6" w:rsidRPr="00C811A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օգոստոս</w:t>
      </w:r>
      <w:r w:rsidR="005317F8"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</w:t>
      </w:r>
      <w:r w:rsidR="003F43D6" w:rsidRPr="00C811A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13-ի </w:t>
      </w:r>
      <w:r w:rsidR="005317F8"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3F43D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N </w:t>
      </w:r>
      <w:r w:rsidR="003F43D6" w:rsidRPr="00C811A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DE11AB" w:rsidRPr="00C263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որոշման</w:t>
      </w:r>
    </w:p>
    <w:p w14:paraId="535C8FF8" w14:textId="77777777" w:rsidR="00DE11AB" w:rsidRPr="00C26324" w:rsidRDefault="00DE11AB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</w:p>
    <w:p w14:paraId="210BFA02" w14:textId="77777777" w:rsidR="00DE11AB" w:rsidRPr="00C26324" w:rsidRDefault="00DE11AB" w:rsidP="005317F8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382DB31" w14:textId="77777777" w:rsidR="00DE11AB" w:rsidRPr="00C26324" w:rsidRDefault="00DE11AB" w:rsidP="00DE11A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E1FD70B" w14:textId="77777777" w:rsidR="00DE11AB" w:rsidRPr="00C26324" w:rsidRDefault="00DE11AB" w:rsidP="00DE11A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ԿԱՐԳ</w:t>
      </w:r>
    </w:p>
    <w:p w14:paraId="16899E96" w14:textId="77777777" w:rsidR="00DE11AB" w:rsidRPr="00C26324" w:rsidRDefault="00DE11AB" w:rsidP="00DE11A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ՀԱՅԱՍՏԱՆԻ ՀԱՆՐԱՊԵՏՈՒԹՅԱՆ ՍՆՆԴԱՄԹԵՐՔԻ ԱՆՎՏԱՆԳՈՒԹՅԱՆ ՏԵՍՉԱԿԱՆ ՄԱՐՄԻՆ ՀԱՆՐՈՒԹՅՈՒՆԻՑ ՍՏԱՑՎՈՂ ԲՈՂՈՔՆԵՐԻ ԸՆԴՈՒՆՄԱՆ ԵՎ ԴՐԱՆՑ ՀԵՏԱԳԱ ԸՆԹԱՑՔ ՏԱԼՈՒ </w:t>
      </w:r>
    </w:p>
    <w:p w14:paraId="38958EF3" w14:textId="77777777" w:rsidR="00480C24" w:rsidRPr="00C26324" w:rsidRDefault="00480C24" w:rsidP="00DE11A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C99CB6E" w14:textId="77777777" w:rsidR="00480C24" w:rsidRPr="00C26324" w:rsidRDefault="00480C24" w:rsidP="00DE11A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1.ԸՆԴՀԱՆՈՒՐ ԴՐՈՒՅԹՆԵՐ</w:t>
      </w:r>
    </w:p>
    <w:p w14:paraId="131E1BEC" w14:textId="77777777" w:rsidR="00DE11AB" w:rsidRPr="00C26324" w:rsidRDefault="00DE11AB" w:rsidP="00DE11AB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կարգով կարգավորվում են Հայաստանի Հանրապետության սննդամթերքի անվտանգության տեսչական մարմնի (այսուհետ` Տեսչական մարմին) կողմից հանրությունից ստացված բողոքների ընդունման և դրանց հետագա ընթացք տալու հետ կապված հարաբերությունները:</w:t>
      </w:r>
    </w:p>
    <w:p w14:paraId="0521E1DD" w14:textId="77777777" w:rsidR="00DE11AB" w:rsidRPr="00C26324" w:rsidRDefault="00DE11AB" w:rsidP="00DE11AB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Տեսչական մարմինը հանրությունից ընդունում և քննության է առնում տնտեսավարող սուբյեկտների գործունեության հետ կապված բողոքները:</w:t>
      </w:r>
    </w:p>
    <w:p w14:paraId="7FE28671" w14:textId="77777777" w:rsidR="008F62C0" w:rsidRPr="00C26324" w:rsidRDefault="00DE11AB" w:rsidP="00DE11AB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Բողոքները կարող են ներկայացվել առձեռն, էլեկտրոնային եղանակով, փոստային եղանակով, «Թեժ գիծ»  հեռախոսակապով, ինչպես նաև </w:t>
      </w:r>
      <w:r w:rsidR="008F62C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կարող </w:t>
      </w:r>
      <w:r w:rsidR="00321739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են</w:t>
      </w:r>
      <w:r w:rsidR="008F62C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քննության </w:t>
      </w:r>
      <w:r w:rsidR="00321739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առնվել</w:t>
      </w:r>
      <w:r w:rsidR="008F62C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ԶԼՄ-ներում</w:t>
      </w:r>
      <w:r w:rsidR="00DC297D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սոցիալական ցանցում</w:t>
      </w:r>
      <w:r w:rsidR="008F62C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հրապարակված այն նյութերը, որոնք վերաբերում են սննդամթերքի և կերի անվտանգության, անասնաբուժության և բուսասանիտարիայի ոլորտներին:</w:t>
      </w:r>
    </w:p>
    <w:p w14:paraId="304C8EDE" w14:textId="77777777" w:rsidR="00DE11AB" w:rsidRPr="00C26324" w:rsidRDefault="008F62C0" w:rsidP="00DE11AB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Բողոքները </w:t>
      </w:r>
      <w:r w:rsidR="00DE11AB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կարող են փոխանցվել այլ մարմիններից «Վարչարարության հիմունքների և վարչական վարույթի մասին» Հայաստանի Հանրապետության օրենքի 33-րդ հոդվածով սահմանված կարգով:</w:t>
      </w:r>
    </w:p>
    <w:p w14:paraId="0411B132" w14:textId="77777777" w:rsidR="008F62C0" w:rsidRPr="00C26324" w:rsidRDefault="008F62C0" w:rsidP="00DE11AB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Բողոքը պետք է </w:t>
      </w:r>
      <w:r w:rsidR="00321739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պարունակի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հետևյալ տեղեկատվությունը.</w:t>
      </w:r>
    </w:p>
    <w:p w14:paraId="35C776C6" w14:textId="06306329" w:rsidR="008F62C0" w:rsidRPr="00C26324" w:rsidRDefault="001F1EE2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բողոքողի </w:t>
      </w:r>
      <w:r w:rsidR="008F62C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անունը, ազգանունը (թղթային կրիչի դեպքում` ստորագրություն), իրավաբանական անձի դեպքում` նրա լրիվ անվանումը (թղթային կրիչի դեպքում` պաշտոնատար անձի ստորագրությունը).</w:t>
      </w:r>
    </w:p>
    <w:p w14:paraId="402458D4" w14:textId="77777777" w:rsidR="008F62C0" w:rsidRPr="00C26324" w:rsidRDefault="008F62C0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բողոքողի հասցեն (իրավաբանական անձի գտնվելու վայրը).</w:t>
      </w:r>
    </w:p>
    <w:p w14:paraId="4D70A11F" w14:textId="77777777" w:rsidR="008F62C0" w:rsidRPr="00C26324" w:rsidRDefault="008F62C0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 մարմնի անվանումը, որին ներկայացվում է </w:t>
      </w:r>
      <w:r w:rsidR="001537FA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բողոքը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4E1EF83" w14:textId="77777777" w:rsidR="008F62C0" w:rsidRPr="00C26324" w:rsidRDefault="008F62C0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բողոքով ներկայացվող պահանջը (դիմումի առարկա).</w:t>
      </w:r>
    </w:p>
    <w:p w14:paraId="1AAE58D9" w14:textId="77777777" w:rsidR="008F62C0" w:rsidRPr="00C26324" w:rsidRDefault="008F62C0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բողոքին կցվող փաստաթղթերի ցանկը (եթե այդպիսիք ներկայացվում են).</w:t>
      </w:r>
    </w:p>
    <w:p w14:paraId="2D9331CF" w14:textId="77777777" w:rsidR="008F62C0" w:rsidRPr="00C26324" w:rsidRDefault="008F62C0" w:rsidP="008F62C0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բողոքը կազմելու տարին, ամիսը և ամսաթիվը.</w:t>
      </w:r>
    </w:p>
    <w:p w14:paraId="02EA95CA" w14:textId="77777777" w:rsidR="00E826F3" w:rsidRPr="00C26324" w:rsidRDefault="00E826F3" w:rsidP="00E826F3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բողոքողի հետադարձ կապի միջոցը (էլեկտրոնային փոստ կամ հեռախոսահամար).</w:t>
      </w:r>
    </w:p>
    <w:p w14:paraId="7C8113B6" w14:textId="77777777" w:rsidR="00E826F3" w:rsidRPr="00C26324" w:rsidRDefault="00E826F3" w:rsidP="00E826F3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անձը հաստատող փաստաթղթերի տվյալններ (ըստ անհրաժեշտության):</w:t>
      </w:r>
    </w:p>
    <w:p w14:paraId="7EDE2933" w14:textId="77777777" w:rsidR="00E826F3" w:rsidRPr="00C26324" w:rsidRDefault="00E826F3" w:rsidP="001537FA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6.</w:t>
      </w:r>
      <w:r w:rsidR="001537FA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Տեսչական մարմնում կազմակերպված անձանց ընդունելության ժամանակ կարող է կազմվել արձանագրություն, որը սույն կարգի 5-րդ կետի իմաստով հա</w:t>
      </w:r>
      <w:r w:rsidR="00894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մարվում է անձի կողմից ներկայացվ</w:t>
      </w:r>
      <w:r w:rsidR="00894CA0" w:rsidRPr="00894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1537FA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 բողոք:</w:t>
      </w:r>
    </w:p>
    <w:p w14:paraId="2BDF72A7" w14:textId="77777777" w:rsidR="00C254DD" w:rsidRPr="00C26324" w:rsidRDefault="001537FA" w:rsidP="001537FA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Եթե բողոքում առկա են ձևական սխալներ</w:t>
      </w:r>
      <w:r w:rsidR="00894CA0" w:rsidRPr="00894CA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94CA0" w:rsidRPr="00E4424F">
        <w:rPr>
          <w:rFonts w:ascii="GHEA Grapalat" w:eastAsia="Times New Roman" w:hAnsi="GHEA Grapalat" w:cs="Times New Roman"/>
          <w:sz w:val="24"/>
          <w:szCs w:val="24"/>
          <w:lang w:val="hy-AM"/>
        </w:rPr>
        <w:t>կամ բացթողումներ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որոնք կարող են շտկվել, ապա վարչական մարմինը </w:t>
      </w:r>
      <w:r w:rsidR="002B2C51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 աշխատանքային օրվա ընթացքում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դրանք մատնացույց է անում </w:t>
      </w:r>
      <w:r w:rsidR="002B2C51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բողոքողին</w:t>
      </w:r>
      <w:r w:rsidR="00C254DD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նրան հնարավորություն ընձեռելով շտկելու այդ սխալները</w:t>
      </w:r>
      <w:r w:rsidR="00C254DD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բացթողումները` երկու աշխատանքայի օրվա ընթացքում:</w:t>
      </w:r>
    </w:p>
    <w:p w14:paraId="363E4483" w14:textId="77777777" w:rsidR="00C254DD" w:rsidRPr="00AA50BE" w:rsidRDefault="00C254DD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</w:t>
      </w:r>
      <w:r w:rsidR="001537FA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Անանուն կամ կեղծ բողոքներին տեսչական մարմինն ընթացք չի տալիս: Կեղծ է համարվում այն բողոքը, որում նշված անձնական տվյալները չեն համապատասխանում բողոքը ներկայացնող անձի իրական տվյալներին, կամ քաղաքացին հայտնում է, որ բողոքում նշված են իր անձնական տվյալները, սակայն հեղինակն ինքը չէ</w:t>
      </w:r>
      <w:r w:rsidR="00AA50BE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DD7393F" w14:textId="77777777" w:rsidR="00C254DD" w:rsidRPr="00C26324" w:rsidRDefault="00A5748A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A5748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</w:t>
      </w:r>
      <w:r w:rsidR="00C254DD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 բողոքով ներկայացվող հարցը չի մտնում Տեսչական մարմնի իրավասությունների մեջ կամ ներկայացված հարցերից մեկը կամ մի քանիսը ենթակա այլ պատական մարմնի իրավասությանը,  ապա դրան ընթացք է տրվում «Վարչարարության հիմունքների և վարչական վարույթի մասին» Հայաստանի Հանրապետության օրենքի 33-րդ հոդվածով սահմանված կարգով:</w:t>
      </w:r>
    </w:p>
    <w:p w14:paraId="14BBEFB2" w14:textId="77777777" w:rsidR="00C254DD" w:rsidRPr="00C26324" w:rsidRDefault="00483388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10.</w:t>
      </w:r>
      <w:r w:rsidR="00AA50BE" w:rsidRPr="00231FBA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231FB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Բողոքին Տեսչական մարմնի կողմից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տրվում է համապատասխան ընթացք, որի մասին բողոքողը եռօրյա ժամկետում տեղեկացվում է:</w:t>
      </w:r>
    </w:p>
    <w:p w14:paraId="08E72FEC" w14:textId="77777777" w:rsidR="00483388" w:rsidRPr="00C26324" w:rsidRDefault="00483388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11.  Հանրության կողմից տնտեսավարող սուբյեկտների վերաբերյալ բողոքների ներկայացումը հիմք չէ ըստ անհրաժեշտության ստուգումներ անցկացնելու համար՝ առանց հետագա դիտարկման: </w:t>
      </w:r>
    </w:p>
    <w:p w14:paraId="28262350" w14:textId="77777777" w:rsidR="00483388" w:rsidRPr="00C26324" w:rsidRDefault="00483388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12. </w:t>
      </w:r>
      <w:r w:rsidR="00A5748A" w:rsidRPr="00A5748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 տեսչական</w:t>
      </w:r>
      <w:r w:rsidR="00A5748A" w:rsidRPr="00A5748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մարմին ստացված բողոքը պարունակում է տեղեկատվություն, որը համապատասխանում է «Հայաստանի Հանրապետությունում ստուգումների կազմակերպման և անցկացման մասին» օրենքի 4-րդ հոդվածի 3.1. մասի 2-րդ կետին, ապա </w:t>
      </w:r>
      <w:r w:rsidR="003400A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եսչական մարմինը բողոքին ընթացք է տալիս «Հայաստանի Հանրապետությունում ստուգումների կազմակերպման և անցկացման մասին» Հայաստանի Հանրապետության օրենքով սահմանված կարգով</w:t>
      </w:r>
      <w:r w:rsidR="003400A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ինչպես նաև «Սննդամթերքի անվտանգության պետական վերահսկողության մասին» </w:t>
      </w:r>
      <w:r w:rsidR="00894CA0" w:rsidRPr="00894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օրենքով </w:t>
      </w:r>
      <w:r w:rsidR="003400A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կարգով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5A257ED7" w14:textId="77777777" w:rsidR="003F4310" w:rsidRPr="00C26324" w:rsidRDefault="003400A7" w:rsidP="003F4310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13.Այն դեպքում, եթե Տեսչական մարմին ստացված բողոքում առկա չեն </w:t>
      </w:r>
      <w:r w:rsidR="003F431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կարգի 12-րդ կետում նշված անգամանքները, ապա Տեսչական մարմինը բողոքին ընթացք է տալիս «Վարչարարության հիմունքների և վարչական վարույթի մասին» Հայաստանի Հանրապետության օրենքի համաձայն:</w:t>
      </w:r>
    </w:p>
    <w:p w14:paraId="6B7FE295" w14:textId="77777777" w:rsidR="003F4310" w:rsidRPr="00C26324" w:rsidRDefault="003F4310" w:rsidP="003F4310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14.</w:t>
      </w:r>
      <w:r w:rsidR="00005058" w:rsidRP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Բողոքի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հիման վրա հարուցված վարչական վարույթի ընթացքում գործողություններն իրականացվում են բացառապես </w:t>
      </w:r>
      <w:r w:rsidR="00005058" w:rsidRP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բողոքում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բարձրացված հարցերի շրջանակներում:</w:t>
      </w:r>
    </w:p>
    <w:p w14:paraId="24245E39" w14:textId="77777777" w:rsidR="00301ADE" w:rsidRPr="00C811A9" w:rsidRDefault="003F4310" w:rsidP="00005058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15.</w:t>
      </w:r>
      <w:r w:rsidR="00005058" w:rsidRP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Տնտեսավարող սուբյեկտների գոր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ծունեության հետ կապված բողոքները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վերլո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ւծվում են Տեսչական մարմնի ռիսկ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գնահատման (կառավարման) և վերլո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ւծությունների վարչության կողմից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որի </w:t>
      </w:r>
      <w:r w:rsidR="00AA50BE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արդյունքներ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005058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օգտագործվում 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են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ինչպես ռիսկերի կառավարման</w:t>
      </w:r>
      <w:r w:rsidR="00A83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համար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այնպես էլ հիմք են հանդիսանում  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տնտեսավարող սուբյեկտ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ների անհատական ռիսկը գնահատելու և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տնտեսավարող սուբյեկտների ռիսկայնության </w:t>
      </w:r>
      <w:r w:rsidR="00005058" w:rsidRPr="00105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գնահատական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005058" w:rsidRPr="001057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փոփոխության համար</w:t>
      </w:r>
      <w:r w:rsidR="000050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1056A870" w14:textId="77777777" w:rsidR="006C6BE2" w:rsidRPr="00C811A9" w:rsidRDefault="006C6BE2" w:rsidP="00005058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887CAB" w14:textId="77777777" w:rsidR="006C6BE2" w:rsidRPr="00C811A9" w:rsidRDefault="006C6BE2" w:rsidP="00005058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23F805C" w14:textId="77777777" w:rsidR="00301ADE" w:rsidRPr="00C26324" w:rsidRDefault="00301ADE" w:rsidP="003F4310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0D6FAB" w14:textId="448D511B" w:rsidR="00DC297D" w:rsidRPr="00C811A9" w:rsidRDefault="00301ADE" w:rsidP="006C6BE2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center"/>
        <w:textAlignment w:val="baseline"/>
        <w:outlineLvl w:val="0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 xml:space="preserve">2.ՀԱՆՐՈՒԹՅՈՒՆԻՑ </w:t>
      </w:r>
      <w:r w:rsidR="00DC297D" w:rsidRPr="00C2632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ՍՏԱՑՎԱԾ ԲՈՂՈՔՆԵՐԻ ԸՆԹԱՑՔԸ</w:t>
      </w:r>
    </w:p>
    <w:p w14:paraId="2681B4D6" w14:textId="0214C9A6" w:rsidR="00DC297D" w:rsidRPr="00C26324" w:rsidRDefault="00DC297D" w:rsidP="00C811A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16. «Թեժ գիծ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հեռախոսակապով ստացված բողոքներն ընդունվու</w:t>
      </w:r>
      <w:r w:rsidR="00C811A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մ, գրանցվում են Տեսչական մարմնի</w:t>
      </w:r>
      <w:r w:rsidR="00C811A9" w:rsidRPr="00C811A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իրազեկման, խորհրդատվության և հանրության հետ տարվող աշխատանքների բաժնի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կողմից և զեկուցագրով ներկայացվում են Տեսչական մարմնի ղեկավարին:</w:t>
      </w:r>
      <w:bookmarkStart w:id="0" w:name="_GoBack"/>
      <w:bookmarkEnd w:id="0"/>
    </w:p>
    <w:p w14:paraId="590334AE" w14:textId="77777777" w:rsidR="006079A5" w:rsidRPr="00C26324" w:rsidRDefault="00DC297D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17. ԶԼՄ-ներում, սոցիալական ցանցում հրապարակված այն նյութերը, որոնք վերաբերում են սննդամթերքի և կերի անվտանգության, անասնաբուժության և բուսասանիտարիայի ոլորտների</w:t>
      </w:r>
      <w:r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A8325A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գրանցվում են 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Տեսչական մարմնի </w:t>
      </w:r>
      <w:r w:rsidR="006079A5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իրազեկման, խորհրդատվության և հանրության հետ տարվող աշխատանքների բաժնի կողմից և զեկուցագրով</w:t>
      </w:r>
      <w:r w:rsidR="00005058" w:rsidRP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079A5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ներկայացվում են Տեսչական մարմնի ղեկավարին:</w:t>
      </w:r>
    </w:p>
    <w:p w14:paraId="6B08E73A" w14:textId="77777777" w:rsidR="006079A5" w:rsidRPr="00C26324" w:rsidRDefault="006079A5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05058" w:rsidRP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կարգի 16-րդ և 17-րդ կետերում նշված 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վերահասցեագրված բողոքները մակագրվում են Տեսչական մարմնի ոլորտային վարչության</w:t>
      </w:r>
      <w:r w:rsidR="006F6167" w:rsidRPr="00A8325A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ռիսկերի գնահատման (կառավարման) և վերլուծությունների վարչությա</w:t>
      </w:r>
      <w:r w:rsidR="006F6167" w:rsidRPr="00A8325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արագ արձագանքման բաժնի</w:t>
      </w:r>
      <w:r w:rsidR="006F6167" w:rsidRPr="00A8325A">
        <w:rPr>
          <w:rFonts w:ascii="GHEA Grapalat" w:eastAsia="Times New Roman" w:hAnsi="GHEA Grapalat" w:cs="Times New Roman"/>
          <w:sz w:val="24"/>
          <w:szCs w:val="24"/>
          <w:lang w:val="hy-AM"/>
        </w:rPr>
        <w:t>ն՝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F6167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վերջինիս 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պատասխանատուներին </w:t>
      </w:r>
      <w:r w:rsidR="006F6167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նշանակելով </w:t>
      </w:r>
      <w:r w:rsidR="00A8325A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որպես </w:t>
      </w:r>
      <w:r w:rsidR="006F6167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առաջին</w:t>
      </w:r>
      <w:r w:rsidR="006F6167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կատարող:</w:t>
      </w:r>
    </w:p>
    <w:p w14:paraId="4F9B8B1D" w14:textId="77777777" w:rsidR="00005058" w:rsidRPr="00321739" w:rsidRDefault="006F6167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</w:t>
      </w:r>
      <w:r w:rsidR="00DA0BA9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Մեկ աշխատանքային օրվա ընթացքում ո</w:t>
      </w:r>
      <w:r w:rsidR="00362116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լորտային վարչությունը ներկայացնում է մասնագիտական դիրքորոշում բողոքում բարձրացված խնդրի վերաբերյալ, իսկ ռիսկերի գնահատման (կառավարման) և վերլուծությունների վարչությունը՝ </w:t>
      </w:r>
      <w:r w:rsidR="00005058" w:rsidRPr="004A193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քաղաքացիների կյանքին, առողջությանը, 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կենդանիների առողջությանը և բուսաբուծությանը </w:t>
      </w:r>
      <w:r w:rsidR="00005058" w:rsidRPr="00CC5C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մշակաբույսերին</w:t>
      </w:r>
      <w:r w:rsidR="00005058" w:rsidRPr="00CC5C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005058" w:rsidRPr="004A193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վնաս հասցնելու</w:t>
      </w:r>
      <w:r w:rsidR="00005058" w:rsidRPr="00CF4AF8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005058" w:rsidRPr="004576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հնարավոր վտանգի </w:t>
      </w:r>
      <w:r w:rsidR="000050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առաջացման կամ </w:t>
      </w:r>
      <w:r w:rsidR="00005058" w:rsidRPr="004576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առկայության վերաբերյալ:</w:t>
      </w:r>
    </w:p>
    <w:p w14:paraId="1D34B8DF" w14:textId="77777777" w:rsidR="00362116" w:rsidRPr="00C26324" w:rsidRDefault="00362116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20.Տեսչական մարմնի արագ արձագանքման բաժինն ուսումնասիրում է բողոքի համապատասխանությունը սույն կարգով սահմանված պահանջներին, և հնարավորության դեպքում միջոցներ է ձեռնարկում սխալները կամ բացթողումները շտկելու ուղղությամբ:</w:t>
      </w:r>
    </w:p>
    <w:p w14:paraId="0AA4F49E" w14:textId="77777777" w:rsidR="00DA0BA9" w:rsidRPr="00C26324" w:rsidRDefault="00DA0BA9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2319D2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Տեսչական մարմնի արագ արձագանքման բաժինը</w:t>
      </w:r>
      <w:r w:rsidR="009E0F11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ոլորտային վարչության և ռիսկերի գնահատման (կառավարման) և վերլուծությունների վարչության դիրքորոշումները ստանալուց և ամփոփելուց հետո</w:t>
      </w:r>
      <w:r w:rsidR="009E0F11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մեկ աշխատանքային օրվա ընթացքում զեկուցագիր է ներկայացնում Տեսչական մարմնի ղեկավարին՝ նշելով</w:t>
      </w:r>
      <w:r w:rsidR="00F56F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անհրաժեշտ տեղեկատվությունը, մասնավորապես՝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բողոքի հիման վրա իրականացվող պետական վերահսկողության ձև</w:t>
      </w:r>
      <w:r w:rsidR="009E0F11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F56F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հարցերի շրջանակը, ինչպես նաև վարչական վարույթի հարուցման հիմքերը:</w:t>
      </w:r>
    </w:p>
    <w:p w14:paraId="75490E50" w14:textId="77777777" w:rsidR="00F56F58" w:rsidRPr="00C26324" w:rsidRDefault="002319D2" w:rsidP="00C25379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</w:t>
      </w:r>
      <w:r w:rsidR="00F56F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Սույն կարգի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21</w:t>
      </w:r>
      <w:r w:rsidR="00F56F5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կետում նշված զեկուցագիրը մակագրվում է Տեսչական մարմնի իրավական աջակցության և փաստաթղթաշրջանառության վարչություն՝ սահմանված կարգով իրավական ակտի նախագիծ կազմելու նպատակով:</w:t>
      </w:r>
    </w:p>
    <w:p w14:paraId="0EB706C1" w14:textId="77777777" w:rsidR="00DC297D" w:rsidRPr="00C26324" w:rsidRDefault="00F56F58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2319D2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.Տեսչական մարմնի իրավական աջակցության և փաստաթղթաշրջանառության վարչությունը մեկ աշխատանքային օրվա ընթացքում </w:t>
      </w:r>
      <w:r w:rsidR="008D594C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օրենքի պահանջներին համապատասխան  կազում է ստուգման հրամանի, կամ «Սննդամթերքի </w:t>
      </w:r>
      <w:r w:rsidR="008D594C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անվտանգության պետական վերահսկողության մասին» օրենքի</w:t>
      </w:r>
      <w:r w:rsidR="002319D2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պահանջներին համապատասխան </w:t>
      </w:r>
      <w:r w:rsidR="008D594C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դիտարկման կամ </w:t>
      </w:r>
      <w:r w:rsidR="00A61F2B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անասնահամաճարակային</w:t>
      </w:r>
      <w:r w:rsidR="000D0CB3" w:rsidRPr="000D0CB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բուսասանիտարական</w:t>
      </w:r>
      <w:r w:rsidR="008D594C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մշտադիտարկման հրամանի նախագիծ:</w:t>
      </w:r>
    </w:p>
    <w:p w14:paraId="1E8ADEFA" w14:textId="77777777" w:rsidR="002319D2" w:rsidRPr="00C26324" w:rsidRDefault="002319D2" w:rsidP="002319D2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6C782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Բողոքով բարձրացված հարցը Տեսչական մարմնի իրավասության մեջ լինելու դեպքում Տեսչական մարմնի արագ արձագանքման բաժնի կողմից եռօրյա ժամկետում իրականացվելից գործառույթների վերաբերյալ ծանուցվում է բողոքողին</w:t>
      </w:r>
      <w:r w:rsidR="006C782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5098CD86" w14:textId="77777777" w:rsidR="006C7828" w:rsidRPr="00C26324" w:rsidRDefault="006C7828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25. Վարչական վարույթի հարուցման դեպքում եռօրյա ժամկետում վարույթի մասնակիցներին (բողոքողին և վարչական ակտի հասցեատիրոջը) ծանուց</w:t>
      </w:r>
      <w:r w:rsidR="00AA50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է վարչական վարույթի հարուցման մասին:</w:t>
      </w:r>
      <w:r w:rsidR="00A61F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1116A12" w14:textId="77777777" w:rsidR="006C7828" w:rsidRPr="00C26324" w:rsidRDefault="006C7828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26.</w:t>
      </w:r>
      <w:r w:rsidR="00975E8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Ծանուցման մեջ նշվում է </w:t>
      </w:r>
      <w:r w:rsidR="00A61F2B" w:rsidRPr="00AA50BE">
        <w:rPr>
          <w:rFonts w:ascii="GHEA Grapalat" w:eastAsia="Times New Roman" w:hAnsi="GHEA Grapalat" w:cs="Times New Roman"/>
          <w:sz w:val="24"/>
          <w:szCs w:val="24"/>
          <w:lang w:val="hy-AM"/>
        </w:rPr>
        <w:t>լսումներ</w:t>
      </w:r>
      <w:r w:rsidR="00975E80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իրականացնելու մասին՝ նշելով լսում անցկացնելու տեղը, օրը և ժամը:</w:t>
      </w:r>
    </w:p>
    <w:p w14:paraId="641EE697" w14:textId="77777777" w:rsidR="00133E1D" w:rsidRPr="00C26324" w:rsidRDefault="00975E80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27.</w:t>
      </w:r>
      <w:r w:rsidR="00133E1D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Լսման արդյունքում բողոքով բերված հարցերի վերաբերյալ որոշակի փաստական հանգամանքներ պարզելու նպատակով կարող է որոշում կայացվել զննում և/կամ փորձաքննություն իրականացնելու:</w:t>
      </w:r>
    </w:p>
    <w:p w14:paraId="10811596" w14:textId="77777777" w:rsidR="00975E80" w:rsidRPr="00C26324" w:rsidRDefault="00133E1D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28. Զննում և/կամ փորձաքննություն իրականացնելու մասին հրամանը երեք աշխատանքային </w:t>
      </w:r>
      <w:r w:rsidR="00A61F2B" w:rsidRPr="00C412E2">
        <w:rPr>
          <w:rFonts w:ascii="GHEA Grapalat" w:eastAsia="Times New Roman" w:hAnsi="GHEA Grapalat" w:cs="Times New Roman"/>
          <w:sz w:val="24"/>
          <w:szCs w:val="24"/>
          <w:lang w:val="hy-AM"/>
        </w:rPr>
        <w:t>օրվա ընթացքում</w:t>
      </w:r>
      <w:r w:rsidR="00C412E2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B105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B10510" w:rsidRPr="00B105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ձեռն կամ փոստի միջոցով ծանուցվում է վարչական վարույթի մասնակիցներին:</w:t>
      </w:r>
    </w:p>
    <w:p w14:paraId="4325D018" w14:textId="77777777" w:rsidR="00133E1D" w:rsidRPr="00C26324" w:rsidRDefault="00133E1D" w:rsidP="006C7828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29.Բացառիկ դեպքերում, երբ Տեսչական մարմնի կողմից բողոքին չարձագանքելը կարող է հանգեցնել ծանր հետևանքների, տեսչական մարմնի ղեկավարն անհապաղ արձակում է հրաման</w:t>
      </w:r>
      <w:r w:rsidR="00C01B2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10510" w:rsidRPr="00B105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</w:t>
      </w:r>
      <w:r w:rsidR="00C01B28" w:rsidRPr="00C26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ննում և/կամ փորձաքննություն իրականացնելու վերաբերյալ:</w:t>
      </w:r>
    </w:p>
    <w:p w14:paraId="1CACEFD4" w14:textId="77777777" w:rsidR="006C7828" w:rsidRPr="00C26324" w:rsidRDefault="006C7828" w:rsidP="002319D2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7959F4" w14:textId="77777777" w:rsidR="00DC297D" w:rsidRPr="00C26324" w:rsidRDefault="00DC297D" w:rsidP="00DC297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77CB97D" w14:textId="77777777" w:rsidR="003400A7" w:rsidRPr="00C26324" w:rsidRDefault="003400A7" w:rsidP="00C254DD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6E4ADB4" w14:textId="77777777" w:rsidR="00C254DD" w:rsidRPr="00C26324" w:rsidRDefault="00C254DD" w:rsidP="001537FA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0" w:firstLine="540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E89C32" w14:textId="77777777" w:rsidR="008F62C0" w:rsidRPr="00C26324" w:rsidRDefault="008F62C0" w:rsidP="008F62C0">
      <w:pPr>
        <w:pStyle w:val="ListParagraph"/>
        <w:shd w:val="clear" w:color="auto" w:fill="FFFFFF"/>
        <w:tabs>
          <w:tab w:val="left" w:pos="851"/>
        </w:tabs>
        <w:spacing w:after="300" w:line="240" w:lineRule="auto"/>
        <w:ind w:left="1665"/>
        <w:jc w:val="both"/>
        <w:textAlignment w:val="baseline"/>
        <w:outlineLvl w:val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FBD00C8" w14:textId="77777777" w:rsidR="00DE11AB" w:rsidRPr="00C26324" w:rsidRDefault="00DE11AB" w:rsidP="00DE11A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0D3D199" w14:textId="77777777" w:rsidR="00DE11AB" w:rsidRPr="00C26324" w:rsidRDefault="00DE11AB" w:rsidP="00DE11A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sectPr w:rsidR="00DE11AB" w:rsidRPr="00C26324" w:rsidSect="00DE1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053"/>
    <w:multiLevelType w:val="hybridMultilevel"/>
    <w:tmpl w:val="C5584CFA"/>
    <w:lvl w:ilvl="0" w:tplc="DF789BC8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0CF"/>
    <w:multiLevelType w:val="hybridMultilevel"/>
    <w:tmpl w:val="37B462E6"/>
    <w:lvl w:ilvl="0" w:tplc="FE92C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F10EC1"/>
    <w:multiLevelType w:val="hybridMultilevel"/>
    <w:tmpl w:val="63A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C5E5F"/>
    <w:multiLevelType w:val="hybridMultilevel"/>
    <w:tmpl w:val="D184524C"/>
    <w:lvl w:ilvl="0" w:tplc="1092EDA0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CE"/>
    <w:rsid w:val="00005058"/>
    <w:rsid w:val="000D0CB3"/>
    <w:rsid w:val="00133E1D"/>
    <w:rsid w:val="001537FA"/>
    <w:rsid w:val="001623F6"/>
    <w:rsid w:val="001F1EE2"/>
    <w:rsid w:val="001F728E"/>
    <w:rsid w:val="00222798"/>
    <w:rsid w:val="002319D2"/>
    <w:rsid w:val="00231FBA"/>
    <w:rsid w:val="0028741F"/>
    <w:rsid w:val="00297BA9"/>
    <w:rsid w:val="002A1615"/>
    <w:rsid w:val="002B2C51"/>
    <w:rsid w:val="002C103E"/>
    <w:rsid w:val="00301ADE"/>
    <w:rsid w:val="00321739"/>
    <w:rsid w:val="00325CEF"/>
    <w:rsid w:val="003400A7"/>
    <w:rsid w:val="00362116"/>
    <w:rsid w:val="003F4310"/>
    <w:rsid w:val="003F43D6"/>
    <w:rsid w:val="00480C24"/>
    <w:rsid w:val="00482CD1"/>
    <w:rsid w:val="00483388"/>
    <w:rsid w:val="005317F8"/>
    <w:rsid w:val="00550CA1"/>
    <w:rsid w:val="00555675"/>
    <w:rsid w:val="005959C9"/>
    <w:rsid w:val="006079A5"/>
    <w:rsid w:val="00634A04"/>
    <w:rsid w:val="006C6BE2"/>
    <w:rsid w:val="006C7828"/>
    <w:rsid w:val="006F6167"/>
    <w:rsid w:val="007D73C0"/>
    <w:rsid w:val="00830349"/>
    <w:rsid w:val="0087182B"/>
    <w:rsid w:val="008929BB"/>
    <w:rsid w:val="00894CA0"/>
    <w:rsid w:val="008A64CE"/>
    <w:rsid w:val="008D594C"/>
    <w:rsid w:val="008F62C0"/>
    <w:rsid w:val="00975E80"/>
    <w:rsid w:val="009E0F11"/>
    <w:rsid w:val="009E1D35"/>
    <w:rsid w:val="00A5748A"/>
    <w:rsid w:val="00A61F2B"/>
    <w:rsid w:val="00A8325A"/>
    <w:rsid w:val="00A96298"/>
    <w:rsid w:val="00AA50BE"/>
    <w:rsid w:val="00B10510"/>
    <w:rsid w:val="00BA485D"/>
    <w:rsid w:val="00C01B28"/>
    <w:rsid w:val="00C25379"/>
    <w:rsid w:val="00C254DD"/>
    <w:rsid w:val="00C26324"/>
    <w:rsid w:val="00C412E2"/>
    <w:rsid w:val="00C811A9"/>
    <w:rsid w:val="00CC0DEB"/>
    <w:rsid w:val="00CC498E"/>
    <w:rsid w:val="00D51C02"/>
    <w:rsid w:val="00D90DDE"/>
    <w:rsid w:val="00DA0BA9"/>
    <w:rsid w:val="00DC297D"/>
    <w:rsid w:val="00DD5F57"/>
    <w:rsid w:val="00DE11AB"/>
    <w:rsid w:val="00DF67BC"/>
    <w:rsid w:val="00E826F3"/>
    <w:rsid w:val="00F56F58"/>
    <w:rsid w:val="00FD56F5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531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531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https:/mul2-fsss.gov.am/tasks/508940/oneclick/Havelvac-10.docx?token=196371f7fdd3b72fe7414347f91985bc</cp:keywords>
  <cp:lastModifiedBy>User</cp:lastModifiedBy>
  <cp:revision>2</cp:revision>
  <dcterms:created xsi:type="dcterms:W3CDTF">2023-03-28T12:34:00Z</dcterms:created>
  <dcterms:modified xsi:type="dcterms:W3CDTF">2023-03-28T12:34:00Z</dcterms:modified>
</cp:coreProperties>
</file>